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§12601. Rule violations; open-water fishing or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§12601. Rule violations; open-water fishing or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§12601. RULE VIOLATIONS; OPEN-WATER FISHING OR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