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§12705. Rule violations; educational or scientific collection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§12705. Rule violations; educational or scientific collection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§12705. RULE VIOLATIONS; EDUCATIONAL OR SCIENTIFIC COLLECTION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