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2. Rule violations; licensed guides and trip lea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2. Rule violations; licensed guides and trip lead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2. RULE VIOLATIONS; LICENSED GUIDES AND TRIP LEA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