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13062</w:t>
        <w:t xml:space="preserve">.  </w:t>
      </w:r>
      <w:r>
        <w:rPr>
          <w:b/>
        </w:rPr>
        <w:t xml:space="preserve">Certificate of number for motorboats carrying passengers for hire</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person may not operate a motorboat carrying passengers for hire without a certificate of number as required under this 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§372 (RPR); PL 2003, c. 655, Pt. B, §422 (AFF).]</w:t>
      </w:r>
    </w:p>
    <w:p>
      <w:pPr>
        <w:jc w:val="both"/>
        <w:spacing w:before="100" w:after="0"/>
        <w:ind w:start="360"/>
        <w:ind w:firstLine="360"/>
      </w:pPr>
      <w:r>
        <w:rPr>
          <w:b/>
        </w:rPr>
        <w:t>2</w:t>
        <w:t xml:space="preserve">.  </w:t>
      </w:r>
      <w:r>
        <w:rPr>
          <w:b/>
        </w:rPr>
        <w:t xml:space="preserve">Application.</w:t>
        <w:t xml:space="preserve"> </w:t>
      </w:r>
      <w:r>
        <w:t xml:space="preserve"> </w:t>
      </w:r>
      <w:r>
        <w:t xml:space="preserve">Before a motorboat may carry passengers for hire, the owner of the motorboat shall apply for and obtain from the commissioner a certificate of number authorizing its use for that purpose. This section applies to all motorboats carrying passengers for hire as defined in </w:t>
      </w:r>
      <w:r>
        <w:t>section 13001, subsection 17</w:t>
      </w:r>
      <w:r>
        <w:t xml:space="preserve">, except those subject to federal inspection requirements that have or are required to have a current valid federal inspection certificate 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Issuance.</w:t>
        <w:t xml:space="preserve"> </w:t>
      </w:r>
      <w:r>
        <w:t xml:space="preserve"> </w:t>
      </w:r>
      <w:r>
        <w:t xml:space="preserve">Before the certificate of number required under </w:t>
      </w:r>
      <w:r>
        <w:t>subsection 1</w:t>
      </w:r>
      <w:r>
        <w:t xml:space="preserve"> is issued, the owner shall satisfy the commissioner that the boat is safe to operate and will be maintained in safe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Examinations.</w:t>
        <w:t xml:space="preserve"> </w:t>
      </w:r>
      <w:r>
        <w:t xml:space="preserve"> </w:t>
      </w:r>
      <w:r>
        <w:t xml:space="preserve">The commissioner may cause a motorboat carrying passengers for hire to be examined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§B372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§13062. Certificate of number for motorboats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§13062. Certificate of number for motorboats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§13062. CERTIFICATE OF NUMBER FOR MOTORBOATS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