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§13066. Displaying excise tax decal and maintaining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Displaying excise tax decal and maintaining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§13066. DISPLAYING EXCISE TAX DECAL AND MAINTAINING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