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13067</w:t>
        <w:t xml:space="preserve">.  </w:t>
      </w:r>
      <w:r>
        <w:rPr>
          <w:b/>
        </w:rPr>
        <w:t xml:space="preserve">Waste water discharge in inland waters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launch a watercraft into or operate a watercraft on inland waters when that watercraft has a marine toilet, shower or sink unless:</w:t>
      </w:r>
    </w:p>
    <w:p>
      <w:pPr>
        <w:jc w:val="both"/>
        <w:spacing w:before="100" w:after="0"/>
        <w:ind w:start="720"/>
      </w:pPr>
      <w:r>
        <w:rPr/>
        <w:t>A</w:t>
        <w:t xml:space="preserve">.  </w:t>
      </w:r>
      <w:r>
        <w:rPr/>
      </w:r>
      <w:r>
        <w:t xml:space="preserve">The waste water from the toilet, shower or sink is fed directly into a holding tank;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holding tank for sanitary waste water is not in any way connected to any through-hull fittings.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§378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§378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§B378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§13067. Waste water discharge in inland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§13067. Waste water discharge in inland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§13067. WASTE WATER DISCHARGE IN INLAND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