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13160</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ATVs in the State unless that person has registered as a dealer and secured a valid dealer's license from the commissioner.  A dealer so registered and licensed need not register individual ATVs.</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Fees.</w:t>
        <w:t xml:space="preserve"> </w:t>
      </w:r>
      <w:r>
        <w:t xml:space="preserve"> </w:t>
      </w:r>
      <w:r>
        <w:t xml:space="preserve">The annual license fee for a dealer registered under </w:t>
      </w:r>
      <w:r>
        <w:t>subsection 1</w:t>
      </w:r>
      <w:r>
        <w:t xml:space="preserve"> is $15.  The license runs from July 1st of each year.</w:t>
      </w:r>
    </w:p>
    <w:p>
      <w:pPr>
        <w:jc w:val="both"/>
        <w:spacing w:before="100" w:after="0"/>
        <w:ind w:start="720"/>
      </w:pPr>
      <w:r>
        <w:rPr/>
        <w:t>A</w:t>
        <w:t xml:space="preserve">.  </w:t>
      </w:r>
      <w:r>
        <w:rPr/>
      </w:r>
      <w:r>
        <w:t xml:space="preserve">A dealer licensed under </w:t>
      </w:r>
      <w:r>
        <w:t>Title 29‑A, section 954, subsection 2</w:t>
      </w:r>
      <w:r>
        <w:t xml:space="preserve"> is not required to pay the license fee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dealer registered under </w:t>
      </w:r>
      <w:r>
        <w:t>subsection 1</w:t>
      </w:r>
      <w:r>
        <w:t xml:space="preserve"> may receive dealer's number plates for a $5 annual fee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Replacements for lost or stolen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 certificate.</w:t>
        <w:t xml:space="preserve"> </w:t>
      </w:r>
      <w:r>
        <w:t xml:space="preserve"> </w:t>
      </w:r>
      <w:r>
        <w:t xml:space="preserve">The commissioner may issue temporary registration certificates to a registered dealer who may, upon the sale or exchange of an ATV, issue a temporary registration certificate to a new owner, in order to allow the new owner to operate the ATV for a period of 20 consecutive days, after the date of sale in lieu of a permanent number as required by this chapter.  The fee for each temporary registration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§25 (AMD).]</w:t>
      </w:r>
    </w:p>
    <w:p>
      <w:pPr>
        <w:jc w:val="both"/>
        <w:spacing w:before="100" w:after="100"/>
        <w:ind w:start="360"/>
        <w:ind w:firstLine="360"/>
      </w:pPr>
      <w:r>
        <w:rPr>
          <w:b/>
        </w:rPr>
        <w:t>5</w:t>
        <w:t xml:space="preserve">.  </w:t>
      </w:r>
      <w:r>
        <w:rPr>
          <w:b/>
        </w:rPr>
        <w:t xml:space="preserve">Display of dealer's number plate.</w:t>
        <w:t xml:space="preserve"> </w:t>
      </w:r>
      <w:r>
        <w:t xml:space="preserve"> </w:t>
      </w:r>
      <w:r>
        <w:t xml:space="preserve">A dealer shall display the dealer's number on each ATV being used until the sale of the ATV, whereupon it becomes the owner's responsibility to register the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C</w:t>
        <w:t xml:space="preserve">.  </w:t>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§418 (RPR); PL 2003, c. 655, Pt. B, §422 (AFF).]</w:t>
      </w:r>
    </w:p>
    <w:p>
      <w:pPr>
        <w:jc w:val="both"/>
        <w:spacing w:before="100" w:after="100"/>
        <w:ind w:start="360"/>
        <w:ind w:firstLine="360"/>
      </w:pPr>
      <w:r>
        <w:rPr>
          <w:b/>
        </w:rPr>
        <w:t>6</w:t>
        <w:t xml:space="preserve">.  </w:t>
      </w:r>
      <w:r>
        <w:rPr>
          <w:b/>
        </w:rPr>
        <w:t xml:space="preserve">Warranties and information on used ATVs.</w:t>
        <w:t xml:space="preserve"> </w:t>
      </w:r>
      <w:r>
        <w:t xml:space="preserve"> </w:t>
      </w:r>
      <w:r>
        <w:t xml:space="preserve">A dealer who offers a warranty in connection with the sale or transfer of a used ATV shall furnish a written statement concerning that warranty.  The statement regarding the warranty must indicate the parts or systems of the vehicle that are covered and those not covered by the warranty and what the dealer will do in the event of a defect and at whose expense repairs be made.</w:t>
      </w:r>
    </w:p>
    <w:p>
      <w:pPr>
        <w:jc w:val="both"/>
        <w:spacing w:before="100" w:after="0"/>
        <w:ind w:start="360"/>
      </w:pPr>
      <w:r>
        <w:rPr/>
      </w:r>
      <w:r>
        <w:rPr/>
      </w:r>
      <w:r>
        <w:t xml:space="preserve">The dealer shall also furnish before sale a written statement identifying any and all defects known to the dealer and any type of damage that the vehicle has sustained if such information is known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§§B418,419 (AMD). PL 2003, c. 655, §B422 (AFF). PL 2009, c. 340,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§13160.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§13160.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§13160.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