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Subsequent petitions</w:t>
      </w:r>
    </w:p>
    <w:p>
      <w:pPr>
        <w:jc w:val="both"/>
        <w:spacing w:before="100" w:after="100"/>
        <w:ind w:start="360"/>
        <w:ind w:firstLine="360"/>
      </w:pPr>
      <w:r>
        <w:rPr/>
      </w:r>
      <w:r>
        <w:rPr/>
      </w:r>
      <w:r>
        <w:t xml:space="preserve">After 6 months shall have expired from the date of entry of a determination by the Department of Agriculture, Conservation and Forestry that operation of a proposed district is not administratively practicable and feasible, and denial of a petition, subsequent petitions may be filed and action taken by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1969, c. 477, §1 (AMD); PL 1995, c. 532, §17 (AMD);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477, §1 (AMD). PL 1995, c. 532, §17 (AMD).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§157. Subsequent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Subsequent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§157. SUBSEQUENT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