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w:t>
        <w:t xml:space="preserve">.  </w:t>
      </w:r>
      <w:r>
        <w:rPr>
          <w:b/>
        </w:rPr>
        <w:t xml:space="preserve">Forest management</w:t>
      </w:r>
    </w:p>
    <w:p>
      <w:pPr>
        <w:jc w:val="both"/>
        <w:spacing w:before="100" w:after="100"/>
        <w:ind w:start="360"/>
        <w:ind w:firstLine="360"/>
      </w:pPr>
      <w:r>
        <w:rPr/>
      </w:r>
      <w:r>
        <w:rPr/>
      </w:r>
      <w:r>
        <w:t xml:space="preserve">The bureau shall manage forested areas within state parks and historic sites to preserve to the maximum practicable extent their natural, recreational and scenic qualities.  The director may authorize wood harvesting on state park and historic site lands when the wood is to be used at state parks and historic sites, when cutting is required by deed conditions on specific lots or when necessary to improve wildlife habitat; control insect infestation and other disease; reduce the risk of fire or other hazards; improve the recreational and aesthetic quality of the park lands; or demonstrate exemplary multiple use forest management techniques within a demonstration forest area established on state park land for educational purposes.  All cutting is subject to the following restrictions.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Protect recreational and natural values.</w:t>
        <w:t xml:space="preserve"> </w:t>
      </w:r>
      <w:r>
        <w:t xml:space="preserve"> </w:t>
      </w:r>
      <w:r>
        <w:t xml:space="preserve">The cutting may not impair the recreational use, aesthetic qualities or natural values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Consistency with forest management plan.</w:t>
        <w:t xml:space="preserve"> </w:t>
      </w:r>
      <w:r>
        <w:t xml:space="preserve"> </w:t>
      </w:r>
      <w:r>
        <w:t xml:space="preserve">The cutting must be carried out in accordance with a written management plan certified by a state-registered professional forester that is available in the principal offices of the bureau for public review and comment at least 60 days before cutting.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Consistency with management objectives for parks and historic sites.</w:t>
        <w:t xml:space="preserve"> </w:t>
      </w:r>
      <w:r>
        <w:t xml:space="preserve"> </w:t>
      </w:r>
      <w:r>
        <w:t xml:space="preserve">The cutting must be consistent with the management objectives of the bureau for state parks and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Cost paid.</w:t>
        <w:t xml:space="preserve"> </w:t>
      </w:r>
      <w:r>
        <w:t xml:space="preserve"> </w:t>
      </w:r>
      <w:r>
        <w:t xml:space="preserve">The cost of these timber management activities must be paid from revenues received from cutting. The balance of revenue received from cutting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§1826. Forest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 Forest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§1826. FOREST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