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§1865. Filled submerged and intertidal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Filled submerged and intertidal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§1865. FILLED SUBMERGED AND INTERTIDAL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