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1890-C</w:t>
        <w:t xml:space="preserve">.  </w:t>
      </w:r>
      <w:r>
        <w:rPr>
          <w:b/>
        </w:rPr>
        <w:t xml:space="preserve">Reporting</w:t>
      </w:r>
    </w:p>
    <w:p>
      <w:pPr>
        <w:jc w:val="both"/>
        <w:spacing w:before="100" w:after="100"/>
        <w:ind w:start="360"/>
      </w:pPr>
      <w:r>
        <w:rPr>
          <w:b/>
        </w:rPr>
        <w:t>(REALLOCATED FROM TITLE 12, SECTION 1891-B)</w:t>
      </w:r>
    </w:p>
    <w:p>
      <w:pPr>
        <w:jc w:val="both"/>
        <w:spacing w:before="100" w:after="100"/>
        <w:ind w:start="360"/>
        <w:ind w:firstLine="360"/>
      </w:pPr>
      <w:r>
        <w:rPr/>
      </w:r>
      <w:r>
        <w:rPr/>
      </w:r>
      <w:r>
        <w:t xml:space="preserve">The commissioner shall report on or before March 1st of each year to the joint standing committee of the Legislature having jurisdiction over conservation matters regarding the state of the waterway, including its mission and goals, administration, education and interpretive programs, historic preservation efforts, visitor use and evaluation, ecological conditions and any natural character enhancements, general finances, income, expenditures and balance of the Allagash Wilderness Waterway Permanent Endowment Fund, the department's annual budget request for the waterway operation in the coming fiscal year and current challenges and prospects for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§1890-C.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§1890-C.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§1890-C.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