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1891-D</w:t>
        <w:t xml:space="preserve">.  </w:t>
      </w:r>
      <w:r>
        <w:rPr>
          <w:b/>
        </w:rPr>
        <w:t xml:space="preserve">Administration</w:t>
      </w:r>
    </w:p>
    <w:p>
      <w:pPr>
        <w:jc w:val="both"/>
        <w:spacing w:before="100" w:after="100"/>
        <w:ind w:start="360"/>
        <w:ind w:firstLine="360"/>
      </w:pPr>
      <w:r>
        <w:rPr/>
      </w:r>
      <w:r>
        <w:rPr/>
      </w:r>
      <w:r>
        <w:t xml:space="preserve">The director shall employ a director of the Corps and may employ other personnel as are required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other agencies and organizations to design the Corps to provide maximum volunteer and work opportunities, job skills training, education, improvements to publicly owned property and assistance with projects conducted by public agencies and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state and local job training agencies, including other service delivery areas and the job service, which may conduct recruitment and referral of individuals interested in participating in the Corps. Agency collaboration with the Corps is on a voluntary basis.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There is established a dedicated account for the use of the Corps.  This account must be used to receive funds contributed by private and public agencies, organizations or individuals and to expend those funds to promote the purposes of this subchapter.  Notwithstanding any other provision of law, state agencies may transfer money appropriated from the General Fund into this account for purposes of contributing to projects, services or volunteer stipends that benefit the contributing agency.  The Corps may enter into an agreement with a private nonprofit organization designated by the director for the purpose of assisting with the management and operation of the Corps.  The designated organization may accept federal and state funds and private contributions, directly or through the Corps, for the purpose of developing and operating programs of the Corps.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