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1891-L</w:t>
        <w:t xml:space="preserve">.  </w:t>
      </w:r>
      <w:r>
        <w:rPr>
          <w:b/>
        </w:rPr>
        <w:t xml:space="preserve">Volunteer insurance</w:t>
      </w:r>
    </w:p>
    <w:p>
      <w:pPr>
        <w:jc w:val="both"/>
        <w:spacing w:before="100" w:after="100"/>
        <w:ind w:start="360"/>
        <w:ind w:firstLine="360"/>
      </w:pPr>
      <w:r>
        <w:rPr/>
      </w:r>
      <w:r>
        <w:rPr/>
      </w:r>
      <w:r>
        <w:t xml:space="preserve">SERVE/Maine shall ensure that volunteers are covered by workplace injury and liability insurance.</w:t>
      </w:r>
      <w:r>
        <w:t xml:space="preserve">  </w:t>
      </w:r>
      <w:r xmlns:wp="http://schemas.openxmlformats.org/drawingml/2010/wordprocessingDrawing" xmlns:w15="http://schemas.microsoft.com/office/word/2012/wordml">
        <w:rPr>
          <w:rFonts w:ascii="Arial" w:hAnsi="Arial" w:cs="Arial"/>
          <w:sz w:val="22"/>
          <w:szCs w:val="22"/>
        </w:rPr>
        <w:t xml:space="preserve">[PL 2007, c. 240, Pt. NN,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NN,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§1891-L. Volunteer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§1891-L. Volunteer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§1891-L. VOLUNTEER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