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Finance Authority of Maine</w:t>
      </w:r>
    </w:p>
    <w:p>
      <w:pPr>
        <w:jc w:val="both"/>
        <w:spacing w:before="100" w:after="100"/>
        <w:ind w:start="360"/>
        <w:ind w:firstLine="360"/>
      </w:pPr>
      <w:r>
        <w:rPr/>
      </w:r>
      <w:r>
        <w:rPr/>
      </w:r>
      <w:r>
        <w:t xml:space="preserve">The Finance Authority of Maine may not finance any energy generating system project under </w:t>
      </w:r>
      <w:r>
        <w:t>Title 10, chapter 110</w:t>
      </w:r>
      <w:r>
        <w:t xml:space="preserve">, if that project is located in whole or in part on any river listed in </w:t>
      </w:r>
      <w:r>
        <w:t>section 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§1 (NEW). PL 1987, c. 393,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§404. Finance Authority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Finance Authority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§404. FINANCE AUTHORITY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