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Natural Areas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 NATURAL AREAS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