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Exemptions</w:t>
      </w:r>
    </w:p>
    <w:p>
      <w:pPr>
        <w:jc w:val="both"/>
        <w:spacing w:before="100" w:after="100"/>
        <w:ind w:start="360"/>
        <w:ind w:firstLine="360"/>
      </w:pPr>
      <w:r>
        <w:rPr/>
      </w:r>
      <w:r>
        <w:rPr/>
      </w:r>
      <w:r>
        <w:t xml:space="preserve">Exempted from this subchapter are all dams and projects licensed by or subject to the jurisdiction of the Federal Power Commission under Part I of the Federal Power Act.</w:t>
      </w:r>
      <w:r>
        <w:t xml:space="preserve">  </w:t>
      </w:r>
      <w:r xmlns:wp="http://schemas.openxmlformats.org/drawingml/2010/wordprocessingDrawing" xmlns:w15="http://schemas.microsoft.com/office/word/2012/wordml">
        <w:rPr>
          <w:rFonts w:ascii="Arial" w:hAnsi="Arial" w:cs="Arial"/>
          <w:sz w:val="22"/>
          <w:szCs w:val="22"/>
        </w:rPr>
        <w:t xml:space="preserve">[PL 1973, c. 103,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§55.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