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598-C</w:t>
        <w:t xml:space="preserve">.  </w:t>
      </w:r>
      <w:r>
        <w:rPr>
          <w:b/>
        </w:rPr>
        <w:t xml:space="preserve">Process for determination of reduction or substantially altered use of designated land</w:t>
      </w:r>
    </w:p>
    <w:p>
      <w:pPr>
        <w:jc w:val="both"/>
        <w:spacing w:before="100" w:after="100"/>
        <w:ind w:start="360"/>
        <w:ind w:firstLine="360"/>
      </w:pPr>
      <w:r>
        <w:rPr/>
      </w:r>
      <w:r>
        <w:rPr/>
      </w:r>
      <w:r>
        <w:t xml:space="preserve">The Department of Agriculture, Conservation and Forestry, Bureau of Parks and Lands shall adopt rules to establish an objective evaluation process for determining if a proposed activity on land designated under this chapter and under the jurisdiction of the bureau would cause the land to be reduced or the uses of the land to be substantially altered.  In adopting the rules, the bureau shall observe the requirements relating to designated lands in the Constitution of Maine, Article IX, Section 23 and ensure proper exercise of the bureau's public trust responsibility.  These rules must also include provisions for public notice and comment before authorizing any such activity and for determining the appropriate instrument to be used to authorize that activity, including but not limited to whether an easement, lease, license or other instrument should be used.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§598-C. Process for determination of reduction or substantially altered use of designated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§598-C. Process for determination of reduction or substantially altered use of designated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§598-C. PROCESS FOR DETERMINATION OF REDUCTION OR SUBSTANTIALLY ALTERED USE OF DESIGNATED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