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6026</w:t>
        <w:t xml:space="preserve">.  </w:t>
      </w:r>
      <w:r>
        <w:rPr>
          <w:b/>
        </w:rPr>
        <w:t xml:space="preserve">False personation</w:t>
      </w:r>
    </w:p>
    <w:p>
      <w:pPr>
        <w:jc w:val="both"/>
        <w:spacing w:before="100" w:after="100"/>
        <w:ind w:start="360"/>
        <w:ind w:firstLine="360"/>
      </w:pPr>
      <w:r>
        <w:rPr/>
      </w:r>
      <w:r>
        <w:rPr/>
      </w:r>
      <w:r>
        <w:t xml:space="preserve">Impersonation of a marine patrol officer shall be a violation of </w:t>
      </w:r>
      <w:r>
        <w:t>Title 17‑A, section 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541, Pt. B, §73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§6026. False personation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§6026. False personation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§6026. FALSE PERSONATION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