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Shellfish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§6038. SHELLFISH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