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6072-D</w:t>
        <w:t xml:space="preserve">.  </w:t>
      </w:r>
      <w:r>
        <w:rPr>
          <w:b/>
        </w:rPr>
        <w:t xml:space="preserve">Aquaculture Management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Aquaculture Management Fund, referred to in this section as "the fund," is established as a dedicated, nonlapsing fund within the department.  All income received by the commissioner under this section must be deposited with the Treasurer of State.  Any balance remaining in the fund at the end of a fiscal year does not lapse and must be carried forward to the next fiscal year.  Any interest earned on assets of the fund is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§16 (NEW).]</w:t>
      </w:r>
    </w:p>
    <w:p>
      <w:pPr>
        <w:jc w:val="both"/>
        <w:spacing w:before="100" w:after="0"/>
        <w:ind w:start="360"/>
        <w:ind w:firstLine="360"/>
      </w:pPr>
      <w:r>
        <w:rPr>
          <w:b/>
        </w:rPr>
        <w:t>2</w:t>
        <w:t xml:space="preserve">.  </w:t>
      </w:r>
      <w:r>
        <w:rPr>
          <w:b/>
        </w:rPr>
        <w:t xml:space="preserve">Fees.</w:t>
        <w:t xml:space="preserve"> </w:t>
      </w:r>
      <w:r>
        <w:t xml:space="preserve"> </w:t>
      </w:r>
      <w:r>
        <w:t xml:space="preserve">In accordance with the authority of the commissioner to levy lease rents pursuant to </w:t>
      </w:r>
      <w:r>
        <w:t>section 6072, subsections 9</w:t>
      </w:r>
      <w:r>
        <w:t xml:space="preserve"> and </w:t>
      </w:r>
      <w:r>
        <w:t>13</w:t>
      </w:r>
      <w:r>
        <w:t xml:space="preserve"> and </w:t>
      </w:r>
      <w:r>
        <w:t>section 6072‑A, subsection 14</w:t>
      </w:r>
      <w:r>
        <w:t xml:space="preserve"> and application fees pursuant to </w:t>
      </w:r>
      <w:r>
        <w:t>section 6072, subsections 4</w:t>
      </w:r>
      <w:r>
        <w:t xml:space="preserve">, </w:t>
      </w:r>
      <w:r>
        <w:t>12</w:t>
      </w:r>
      <w:r>
        <w:t xml:space="preserve"> and </w:t>
      </w:r>
      <w:r>
        <w:t>12‑A</w:t>
      </w:r>
      <w:r>
        <w:t xml:space="preserve">, the commissioner shall adopt routine technical rules as defined in </w:t>
      </w:r>
      <w:r>
        <w:t>Title 5, chapter 375, subchapter 2‑A</w:t>
      </w:r>
      <w:r>
        <w:t xml:space="preserve"> to implement a fee structure for lease rents and application fees that are in addition to the minimum lease rents and application fees that are in effect on the effective date of this subsection.  Any rent or fee assessed pursuant to this subsection that is in addition to the fees that are in effect on the effective date of this subsection must be credited to the fund.  A person who does not pay the rent or fee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§16 (NEW).]</w:t>
      </w:r>
    </w:p>
    <w:p>
      <w:pPr>
        <w:jc w:val="both"/>
        <w:spacing w:before="100" w:after="0"/>
        <w:ind w:start="360"/>
        <w:ind w:firstLine="360"/>
      </w:pPr>
      <w:r>
        <w:rPr>
          <w:b/>
        </w:rPr>
        <w:t>3</w:t>
        <w:t xml:space="preserve">.  </w:t>
      </w:r>
      <w:r>
        <w:rPr>
          <w:b/>
        </w:rPr>
        <w:t xml:space="preserve">Additional revenues.</w:t>
        <w:t xml:space="preserve"> </w:t>
      </w:r>
      <w:r>
        <w:t xml:space="preserve"> </w:t>
      </w:r>
      <w:r>
        <w:t xml:space="preserve">The commissioner may expend annual revenues that are in excess of the operating expenses of a program under </w:t>
      </w:r>
      <w:r>
        <w:t>subsection 4</w:t>
      </w:r>
      <w:r>
        <w:t xml:space="preserve"> to address matters that the commissioner determines are of an emergency nature to the State's aquaculture industry, to address matters that the commissioner determines are of long-term interest to the State's aquaculture industry and to rebate revenues to all those persons who paid fees under </w:t>
      </w:r>
      <w:r>
        <w:t>subsection 2</w:t>
      </w:r>
      <w:r>
        <w:t xml:space="preserve">.  The fund may receive money from any source for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§16 (NEW).]</w:t>
      </w:r>
    </w:p>
    <w:p>
      <w:pPr>
        <w:jc w:val="both"/>
        <w:spacing w:before="100" w:after="0"/>
        <w:ind w:start="360"/>
        <w:ind w:firstLine="360"/>
      </w:pPr>
      <w:r>
        <w:rPr>
          <w:b/>
        </w:rPr>
        <w:t>4</w:t>
        <w:t xml:space="preserve">.  </w:t>
      </w:r>
      <w:r>
        <w:rPr>
          <w:b/>
        </w:rPr>
        <w:t xml:space="preserve">Uses of fund.</w:t>
        <w:t xml:space="preserve"> </w:t>
      </w:r>
      <w:r>
        <w:t xml:space="preserve"> </w:t>
      </w:r>
      <w:r>
        <w:t xml:space="preserve">The commissioner may make expenditures from the fund to develop and manage effective and cost-efficient water quality licensing and monitoring criteria, analyze and evaluate monitoring data, process lease applications and make information about aquaculture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§16 (NEW).]</w:t>
      </w:r>
    </w:p>
    <w:p>
      <w:pPr>
        <w:jc w:val="both"/>
        <w:spacing w:before="100" w:after="0"/>
        <w:ind w:start="360"/>
        <w:ind w:firstLine="360"/>
      </w:pPr>
      <w:r>
        <w:rPr>
          <w:b/>
        </w:rPr>
        <w:t>5</w:t>
        <w:t xml:space="preserve">.  </w:t>
      </w:r>
      <w:r>
        <w:rPr>
          <w:b/>
        </w:rPr>
        <w:t xml:space="preserve">Reports.</w:t>
        <w:t xml:space="preserve"> </w:t>
      </w:r>
      <w:r>
        <w:t xml:space="preserve"> </w:t>
      </w:r>
      <w:r>
        <w:t xml:space="preserve">The commissioner shall report annually to the Aquaculture Advisory Council under </w:t>
      </w:r>
      <w:r>
        <w:t>section 6080</w:t>
      </w:r>
      <w:r>
        <w:t xml:space="preserve"> on all expenditures made from the fund in the previous fiscal year and a summary of work accomplished and planned.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§A16 (NEW). PL 2011, c. 598,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§6072-D. Aquaculture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§6072-D. Aquaculture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§6072-D. AQUACULTURE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