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6081</w:t>
        <w:t xml:space="preserve">.  </w:t>
      </w:r>
      <w:r>
        <w:rPr>
          <w:b/>
        </w:rPr>
        <w:t xml:space="preserve">Aquaculture Research Fund</w:t>
      </w:r>
    </w:p>
    <w:p>
      <w:pPr>
        <w:jc w:val="both"/>
        <w:spacing w:before="100" w:after="100"/>
        <w:ind w:start="360"/>
        <w:ind w:firstLine="360"/>
      </w:pPr>
      <w:r>
        <w:rPr/>
      </w:r>
      <w:r>
        <w:rPr/>
      </w:r>
      <w:r>
        <w:t xml:space="preserve">The Aquaculture Research Fund, referred to in this section as the "fund," is established as a dedicated, nonlapsing fund within the department.  In addition to the fees derived from the limited-purpose aquaculture license, the commissioner may receive on behalf of the fund funds from any source.  The commissioner shall use all money received into the fund for research and management related to the aquaculture industry.  Unexpended balances in the fund at the end of the fiscal year do not lapse but must be carried forward to the next fiscal year to be used for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1999, c. 567,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§6081. Aquaculture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§6081. Aquaculture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§6081. AQUACULTURE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