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§6082. Confidentiality provisions for aquaculture information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§6082. Confidentiality provisions for aquaculture information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§6082. CONFIDENTIALITY PROVISIONS FOR AQUACULTURE INFORMATION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