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Labeling of food products containing surimi</w:t>
      </w:r>
    </w:p>
    <w:p>
      <w:pPr>
        <w:jc w:val="both"/>
        <w:spacing w:before="100" w:after="100"/>
        <w:ind w:start="360"/>
        <w:ind w:firstLine="360"/>
      </w:pPr>
      <w:r>
        <w:rPr/>
      </w:r>
      <w:r>
        <w:rPr/>
      </w:r>
      <w:r>
        <w:t xml:space="preserve">A food product may not be sold in this State consisting of or containing surimi unless the packaging containing the food product is clearly and conspicuously labeled or, if there is no packaging, unless a sign is conspicuously displayed, indicating that the product is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is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1991,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§3 (RPR). PL 1991, c.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§6112. Labeling of food products containing surimi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Labeling of food products containing surimi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§6112. LABELING OF FOOD PRODUCTS CONTAINING SURIMI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