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§6312. Saltwater recreational fishing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§6312. SALTWATER RECREATIONAL FISHING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