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6402-D</w:t>
        <w:t xml:space="preserve">.  </w:t>
      </w:r>
      <w:r>
        <w:rPr>
          <w:b/>
        </w:rPr>
        <w:t xml:space="preserve">Suspension or revocation based on conviction of fishing over trap limit</w:t>
      </w:r>
    </w:p>
    <w:p>
      <w:pPr>
        <w:jc w:val="both"/>
        <w:spacing w:before="100" w:after="100"/>
        <w:ind w:start="360"/>
        <w:ind w:firstLine="360"/>
      </w:pPr>
      <w:r>
        <w:rPr/>
      </w:r>
      <w:r>
        <w:rPr/>
      </w:r>
      <w:r>
        <w:t xml:space="preserve">Notwithstanding </w:t>
      </w:r>
      <w:r>
        <w:t>section 6401, subsection 2</w:t>
      </w:r>
      <w:r>
        <w:t xml:space="preserve">, the commissioner shall suspend the lobster and crab fishing license or nonresident lobster and crab landing permit of a person convicted of a violation of </w:t>
      </w:r>
      <w:r>
        <w:t>section 6431‑F, subsection 4</w:t>
      </w:r>
      <w:r>
        <w:t xml:space="preserve"> for not less than 3 years and not more than 10 years from the date of a first conviction.  For a 2nd conviction, the commissioner shall permanently revoke the person's license or permit.</w:t>
      </w:r>
      <w:r>
        <w:t xml:space="preserve">  </w:t>
      </w:r>
      <w:r xmlns:wp="http://schemas.openxmlformats.org/drawingml/2010/wordprocessingDrawing" xmlns:w15="http://schemas.microsoft.com/office/word/2012/wordml">
        <w:rPr>
          <w:rFonts w:ascii="Arial" w:hAnsi="Arial" w:cs="Arial"/>
          <w:sz w:val="22"/>
          <w:szCs w:val="22"/>
        </w:rPr>
        <w:t xml:space="preserve">[PL 2017, c. 197,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§6402-D. Suspension or revocation based on conviction of fishing over trap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§6402-D. Suspension or revocation based on conviction of fishing over trap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§6402-D. SUSPENSION OR REVOCATION BASED ON CONVICTION OF FISHING OVER TRAP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