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§6472. Closed and open seasons;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§6472. Closed and open seasons;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§6472. CLOSED AND OPEN SEASONS;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