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T.12, §6494)</w:t>
      </w:r>
    </w:p>
    <w:p>
      <w:pPr>
        <w:jc w:val="both"/>
        <w:spacing w:before="100" w:after="100"/>
        <w:ind w:start="360"/>
        <w:ind w:firstLine="360"/>
      </w:pPr>
      <w:r>
        <w:rPr/>
      </w:r>
      <w:r>
        <w:rPr/>
      </w:r>
      <w:r>
        <w:t xml:space="preserve">The Lobster Legal Defense Fund, referred to in this subchapter as "the fund," is established as a nonlapsing account within the department to support the State's lobster industry in accordance with this subchapter.  The fund includes amounts appropriated by the Legislature for purposes of this subchapter and  20% of the license surcharges assessed by the department pursuant to </w:t>
      </w:r>
      <w:r>
        <w:t>section 6455‑A, subsection 11</w:t>
      </w:r>
      <w:r>
        <w:t xml:space="preserve">, deposited into the fund by the department.  </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§6491. Lobster Legal Defense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§6491. LOBSTER LEGAL DEFENSE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