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§6506. Commercial halibut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Commercial halibut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§6506. COMMERCIAL HALIBUT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