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6543</w:t>
        <w:t xml:space="preserve">.  </w:t>
      </w:r>
      <w:r>
        <w:rPr>
          <w:b/>
        </w:rPr>
        <w:t xml:space="preserve">Standard unit of herring measure</w:t>
      </w:r>
    </w:p>
    <w:p>
      <w:pPr>
        <w:jc w:val="both"/>
        <w:spacing w:before="100" w:after="100"/>
        <w:ind w:start="360"/>
        <w:ind w:firstLine="360"/>
      </w:pPr>
      <w:r>
        <w:rPr/>
      </w:r>
      <w:r>
        <w:rPr/>
      </w:r>
      <w:r>
        <w:t xml:space="preserve">A person who purchases or sells herring in their live or raw state for packing, other than by a standard unit of measure or by a fractional part of a standard unit of measure, commits a civil violation for which a forfeiture of not less than $100 and not more than $500 may be adjudged. The standard units of measure are the bushel, barrel of 3 bushels or the hogshead of 17 1/2 bushels.</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§6543. Standard unit of herring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§6543. Standard unit of herring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§6543. STANDARD UNIT OF HERRING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