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§6806. Seaweed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§6806. Seaweed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§6806. SEAWEED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