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6956</w:t>
        <w:t xml:space="preserve">.  </w:t>
      </w:r>
      <w:r>
        <w:rPr>
          <w:b/>
        </w:rPr>
        <w:t xml:space="preserve">Diver's down flag required</w:t>
      </w:r>
    </w:p>
    <w:p>
      <w:pPr>
        <w:jc w:val="both"/>
        <w:spacing w:before="100" w:after="100"/>
        <w:ind w:start="360"/>
        <w:ind w:firstLine="360"/>
      </w:pPr>
      <w:r>
        <w:rPr/>
      </w:r>
      <w:r>
        <w:rPr/>
      </w:r>
      <w:r>
        <w:t xml:space="preserve">A person licensed to harvest a marine species by hand must display a diver's down flag when using a self-contained underwater breathing apparatus to harvest that species.  For the purposes of this section, "diver's down flag" means the International Code Flag "A" as defined in navigation rules adopted by the United States Coast Guard.  A person who violates this section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§12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448, §1 (NEW). PL 1999, c. 771, §B12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§6956. Diver's down flag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§6956. Diver's down flag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§6956. DIVER'S DOWN FLAG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