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1985, c. 762, §3 (AMD). PL 1987, c. 619, §1 (AMD). PL 1995, c. 65, §A30 (AMD). PL 1995, c. 65, §§A153,C15 (AFF). PL 1995, c. 502, §E32 (AMD). PL 1999, c. 556, §25 (AMD). PL 2001, c. 687,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