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8431</w:t>
        <w:t xml:space="preserve">.  </w:t>
      </w:r>
      <w:r>
        <w:rPr>
          <w:b/>
        </w:rPr>
        <w:t xml:space="preserve">Effect of other laws</w:t>
      </w:r>
    </w:p>
    <w:p>
      <w:pPr>
        <w:jc w:val="both"/>
        <w:spacing w:before="100" w:after="100"/>
        <w:ind w:start="360"/>
        <w:ind w:firstLine="360"/>
      </w:pPr>
      <w:r>
        <w:rPr/>
      </w:r>
      <w:r>
        <w:rPr/>
      </w:r>
      <w:r>
        <w:t xml:space="preserve">This subchapter does not exempt any presalvage and salvage harvesting on public reserved lands and nonreserved public lands from any other law governing management of those lands, including but not limited to management of deer wintering areas.</w:t>
      </w:r>
      <w:r>
        <w:t xml:space="preserve">  </w:t>
      </w:r>
      <w:r xmlns:wp="http://schemas.openxmlformats.org/drawingml/2010/wordprocessingDrawing" xmlns:w15="http://schemas.microsoft.com/office/word/2012/wordml">
        <w:rPr>
          <w:rFonts w:ascii="Arial" w:hAnsi="Arial" w:cs="Arial"/>
          <w:sz w:val="22"/>
          <w:szCs w:val="22"/>
        </w:rPr>
        <w:t xml:space="preserve">[PL 2015, c. 314,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§8431.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§8431.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§8431.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