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8845</w:t>
        <w:t xml:space="preserve">.  </w:t>
      </w:r>
      <w:r>
        <w:rPr>
          <w:b/>
        </w:rPr>
        <w:t xml:space="preserve">Federal quarantine regulations</w:t>
      </w:r>
    </w:p>
    <w:p>
      <w:pPr>
        <w:jc w:val="both"/>
        <w:spacing w:before="100" w:after="100"/>
        <w:ind w:start="360"/>
        <w:ind w:firstLine="360"/>
      </w:pPr>
      <w:r>
        <w:rPr/>
      </w:r>
      <w:r>
        <w:rPr/>
      </w:r>
      <w:r>
        <w:t xml:space="preserve">Compliance with this Article does not relieve or exempt from legal responsibility any person from compliance with the federal regulations concerning any quarantine law.</w:t>
      </w:r>
      <w:r>
        <w:t xml:space="preserve">  </w:t>
      </w:r>
      <w:r xmlns:wp="http://schemas.openxmlformats.org/drawingml/2010/wordprocessingDrawing" xmlns:w15="http://schemas.microsoft.com/office/word/2012/wordml">
        <w:rPr>
          <w:rFonts w:ascii="Arial" w:hAnsi="Arial" w:cs="Arial"/>
          <w:sz w:val="22"/>
          <w:szCs w:val="22"/>
        </w:rPr>
        <w:t xml:space="preserve">[PL 1983, c. 507,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§8845. Federal quarantine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§8845. Federal quarantine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§8845. FEDERAL QUARANTINE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