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§8907. FOREST SERVICE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