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w:t>
        <w:t xml:space="preserve">.  </w:t>
      </w:r>
      <w:r>
        <w:rPr>
          <w:b/>
        </w:rPr>
        <w:t xml:space="preserve">Agents and representatives</w:t>
      </w:r>
    </w:p>
    <w:p>
      <w:pPr>
        <w:jc w:val="both"/>
        <w:spacing w:before="100" w:after="100"/>
        <w:ind w:start="360"/>
        <w:ind w:firstLine="360"/>
      </w:pPr>
      <w:r>
        <w:rPr/>
      </w:r>
      <w:r>
        <w:rPr/>
      </w:r>
      <w:r>
        <w:t xml:space="preserve">The Baxter State Park Authority shall appoint agents or representatives to carry out this subchapter. All appointed agents or representatives hold office under the rules of the Civil Service Law. They must be sworn to the faithful discharge of their duties and a certificate thereof must be returned and filed in the office of the chair of the authority. They must be appointed by the authority in accordance with the Civil Service Law and may be allowed actual necessary expenses of travel.</w:t>
      </w:r>
      <w:r>
        <w:t xml:space="preserve">  </w:t>
      </w:r>
      <w:r xmlns:wp="http://schemas.openxmlformats.org/drawingml/2010/wordprocessingDrawing" xmlns:w15="http://schemas.microsoft.com/office/word/2012/wordml">
        <w:rPr>
          <w:rFonts w:ascii="Arial" w:hAnsi="Arial" w:cs="Arial"/>
          <w:sz w:val="22"/>
          <w:szCs w:val="22"/>
        </w:rPr>
        <w:t xml:space="preserve">[RR 2021, c. 2, Pt. B, §13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§19 (AMD). PL 1985, c. 785, §B63 (AMD). RR 2021, c. 2, Pt. B, §13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§904. Agents and representatives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 Agents and representatives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§904. AGENTS AND REPRESENTATIVES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