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 Deposit with Treasurer of State of undistributed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Deposit with Treasurer of State of undistributed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§1110. DEPOSIT WITH TREASURER OF STATE OF UNDISTRIBUTED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