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BENEFIT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2</w:t>
      </w:r>
    </w:p>
    <w:p>
      <w:pPr>
        <w:jc w:val="center"/>
        <w:ind w:start="360"/>
        <w:spacing w:before="300" w:after="300"/>
      </w:pPr>
      <w:r>
        <w:rPr>
          <w:b/>
        </w:rPr>
        <w:t xml:space="preserve">CORPORATE PURPOSES</w:t>
      </w:r>
    </w:p>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3</w:t>
      </w:r>
    </w:p>
    <w:p>
      <w:pPr>
        <w:jc w:val="center"/>
        <w:ind w:start="360"/>
        <w:spacing w:before="300" w:after="300"/>
      </w:pPr>
      <w:r>
        <w:rPr>
          <w:b/>
        </w:rPr>
        <w:t xml:space="preserve">ACCOUNTABILITY</w:t>
      </w:r>
    </w:p>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4</w:t>
      </w:r>
    </w:p>
    <w:p>
      <w:pPr>
        <w:jc w:val="center"/>
        <w:ind w:start="360"/>
        <w:spacing w:before="300" w:after="300"/>
      </w:pPr>
      <w:r>
        <w:rPr>
          <w:b/>
        </w:rPr>
        <w:t xml:space="preserve">TRANSPARENCY</w:t>
      </w:r>
    </w:p>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18. BENEFIT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