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NAME</w:t>
      </w:r>
    </w:p>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jc w:val="both"/>
        <w:spacing w:before="100" w:after="100"/>
        <w:ind w:start="1080" w:hanging="720"/>
      </w:pPr>
      <w:r>
        <w:rPr>
          <w:b/>
        </w:rPr>
        <w:t>§</w:t>
        <w:t>402</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delivering for filing an application to the Secretary of State.  The application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§2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delivering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2013, c. 99, §2 (AMD). </w:t>
      </w:r>
    </w:p>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jc w:val="both"/>
        <w:spacing w:before="100" w:after="100"/>
        <w:ind w:start="1080" w:hanging="720"/>
      </w:pPr>
      <w:r>
        <w:rPr>
          <w:b/>
        </w:rPr>
        <w:t>§</w:t>
        <w:t>404</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includes a trade name, the name of a division not separately incorporated and not used in conjunction with the real corporate name and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§50 (AMD).]</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is a name adopted by a foreign corporation authorized to transact business in this State because its real name is unavailable pursuant to section 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corporation shall execute and deliver for filing, in accordance with </w:t>
      </w:r>
      <w:r>
        <w:t>section 121</w:t>
      </w:r>
      <w:r>
        <w:t xml:space="preserve">, a statement setting forth:</w:t>
      </w:r>
    </w:p>
    <w:p>
      <w:pPr>
        <w:jc w:val="both"/>
        <w:spacing w:before="100" w:after="0"/>
        <w:ind w:start="720"/>
      </w:pPr>
      <w:r>
        <w:rPr/>
        <w:t>A</w:t>
        <w:t xml:space="preserve">.  </w:t>
      </w:r>
      <w:r>
        <w:rPr/>
      </w:r>
      <w:r>
        <w:t xml:space="preserve">The corporate name;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B</w:t>
        <w:t xml:space="preserve">.  </w:t>
      </w:r>
      <w:r>
        <w:rPr/>
      </w:r>
      <w:r>
        <w:t xml:space="preserve">That it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that it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D</w:t>
        <w:t xml:space="preserve">.  </w:t>
      </w:r>
      <w:r>
        <w:rPr/>
      </w:r>
      <w:r>
        <w:t xml:space="preserve">If the assumed name is not to be used at all of the corporation's places of business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§52 (NEW).]</w:t>
      </w:r>
    </w:p>
    <w:p>
      <w:pPr>
        <w:jc w:val="both"/>
        <w:spacing w:before="100" w:after="0"/>
        <w:ind w:start="360"/>
      </w:pPr>
      <w:r>
        <w:rPr/>
      </w:r>
      <w:r>
        <w:rPr/>
      </w:r>
      <w:r>
        <w:t xml:space="preserve">A separate statement must be executed and delivered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§§51, 52 (AMD).]</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401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 121</w:t>
      </w:r>
      <w:r>
        <w:t xml:space="preserve">, a statement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§53 (AMD).]</w:t>
      </w:r>
    </w:p>
    <w:p>
      <w:pPr>
        <w:jc w:val="both"/>
        <w:spacing w:before="100" w:after="0"/>
        <w:ind w:start="720"/>
      </w:pPr>
      <w:r>
        <w:rPr/>
        <w:t>B</w:t>
        <w:t xml:space="preserve">.  </w:t>
      </w:r>
      <w:r>
        <w:rPr/>
      </w:r>
      <w:r>
        <w:t xml:space="preserve">That it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it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§§B50-53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