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Availability of annual benefit report</w:t>
      </w:r>
    </w:p>
    <w:p>
      <w:pPr>
        <w:jc w:val="both"/>
        <w:spacing w:before="100" w:after="100"/>
        <w:ind w:start="360"/>
        <w:ind w:firstLine="360"/>
      </w:pPr>
      <w:r>
        <w:rPr>
          <w:b/>
        </w:rPr>
        <w:t>1</w:t>
        <w:t xml:space="preserve">.  </w:t>
      </w:r>
      <w:r>
        <w:rPr>
          <w:b/>
        </w:rPr>
        <w:t xml:space="preserve">Timing of report.</w:t>
        <w:t xml:space="preserve"> </w:t>
      </w:r>
      <w:r>
        <w:t xml:space="preserve"> </w:t>
      </w:r>
      <w:r>
        <w:t xml:space="preserve">A benefit corporation shall send its annual benefit report to each shareholder on the earlier of:</w:t>
      </w:r>
    </w:p>
    <w:p>
      <w:pPr>
        <w:jc w:val="both"/>
        <w:spacing w:before="100" w:after="0"/>
        <w:ind w:start="720"/>
      </w:pPr>
      <w:r>
        <w:rPr/>
        <w:t>A</w:t>
        <w:t xml:space="preserve">.  </w:t>
      </w:r>
      <w:r>
        <w:rPr/>
      </w:r>
      <w:r>
        <w:t xml:space="preserve">One hundred and twenty days following the end of the fiscal year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At the same time the benefit corporation delivers any other annual report to its shareholders.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Website posting.</w:t>
        <w:t xml:space="preserve"> </w:t>
      </w:r>
      <w:r>
        <w:t xml:space="preserve"> </w:t>
      </w:r>
      <w:r>
        <w:t xml:space="preserve">A benefit corporation shall post all of its annual benefit reports on the public portion of its website.  The compensation paid to directors and financial or proprietary information included in the benefit reports may be omitted from the annual benefit reports as posted.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Availability of copies.</w:t>
        <w:t xml:space="preserve"> </w:t>
      </w:r>
      <w:r>
        <w:t xml:space="preserve"> </w:t>
      </w:r>
      <w:r>
        <w:t xml:space="preserve">If a benefit corporation does not have a website, the benefit corporation shall provide a copy of its most recent annual benefit report, without charge, to any person that requests a copy, but the compensation paid to directors and financial or proprietary information included in the annual benefit report may be omitted from the copy of the annual benefit report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§1832. Availability of annual benefit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Availability of annual benefit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§1832. AVAILABILITY OF ANNUAL BENEFIT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