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§827. SUBMISSION OF MATTERS FOR SHAREHOLDER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