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ORGANIZATION; MEETING; CERTIFICATES</w:t>
      </w:r>
    </w:p>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jc w:val="both"/>
        <w:spacing w:before="100" w:after="100"/>
        <w:ind w:start="1080" w:hanging="720"/>
      </w:pPr>
      <w:r>
        <w:rPr>
          <w:b/>
        </w:rPr>
        <w:t>§</w:t>
        <w:t>903</w:t>
        <w:t xml:space="preserve">.  </w:t>
      </w:r>
      <w:r>
        <w:rPr>
          <w:b/>
        </w:rPr>
        <w:t xml:space="preserve">Certificate of organization</w:t>
      </w:r>
    </w:p>
    <w:p>
      <w:pPr>
        <w:jc w:val="both"/>
        <w:spacing w:before="100" w:after="100"/>
        <w:ind w:start="360"/>
        <w:ind w:firstLine="360"/>
      </w:pPr>
      <w:r>
        <w:rPr/>
      </w:r>
      <w:r>
        <w:rPr/>
      </w:r>
      <w:r>
        <w:t xml:space="preserve">The incorporators shall prepare, sign, date and deliver for filing with the Secretary of State a certificate of organization setting forth the name, location, officers and directors, trustees or managing board, contact person and the contact person's mailing and physical address, if different, in this State and purposes of the corporation. The certificate must clearly state that the corporation is not organized for profit and that no property or profit of the corporation inures to the benefit of any person, partnership or corporation except in furtherance of the benevolent or nonprofit purposes of the corporation. Once the Secretary of State has filed the certificate of organization, the corporation may carry on activities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§10 (AMD). PL 1971, c. 544, §39 (AMD). PL 1971, c. 565, §3 (AMD). PL 1973, c. 625, §81 (AMD). PL 1975, c. 487, §3 (RPR). PL 1975, c. 635, §1 (AMD). PL 1975, c. 770, §73 (AMD). PL 1977, c. 78, §108 (AMD). PL 1977, c. 522, §§1,2 (AMD). PL 1991, c. 465, §14 (AMD). RR 1993, c. 1, §39 (COR). PL 2003, c. 523, §1 (RPR). PL 2009, c. 56, §5 (AMD). </w:t>
      </w:r>
    </w:p>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jc w:val="center"/>
        <w:ind w:start="360"/>
        <w:spacing w:before="300" w:after="300"/>
      </w:pPr>
      <w:r>
        <w:rPr>
          <w:b/>
        </w:rPr>
        <w:t>SUBCHAPTER</w:t>
        <w:t xml:space="preserve"> </w:t>
        <w:t>2</w:t>
      </w:r>
    </w:p>
    <w:p>
      <w:pPr>
        <w:jc w:val="center"/>
        <w:ind w:start="360"/>
        <w:spacing w:before="300" w:after="300"/>
      </w:pPr>
      <w:r>
        <w:rPr>
          <w:b/>
        </w:rPr>
        <w:t xml:space="preserve">POWERS</w:t>
      </w:r>
    </w:p>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jc w:val="both"/>
        <w:spacing w:before="100" w:after="100"/>
        <w:ind w:start="1080" w:hanging="720"/>
      </w:pPr>
      <w:r>
        <w:rPr>
          <w:b/>
        </w:rPr>
        <w:t>§</w:t>
        <w:t>934</w:t>
        <w:t xml:space="preserve">.  </w:t>
      </w:r>
      <w:r>
        <w:rPr>
          <w:b/>
        </w:rPr>
        <w:t xml:space="preserve">Amendments</w:t>
      </w:r>
    </w:p>
    <w:p>
      <w:pPr>
        <w:jc w:val="both"/>
        <w:spacing w:before="100" w:after="100"/>
        <w:ind w:start="360"/>
        <w:ind w:firstLine="360"/>
      </w:pPr>
      <w:r>
        <w:rPr/>
      </w:r>
      <w:r>
        <w:rPr/>
      </w:r>
      <w:r>
        <w:t xml:space="preserve">In addition to any other method provided by law, a corporation organized under this chapter, including specially chartered churches, but not other specially chartered corporations, may change the number of its officers, directors, trustees or members of its managing board, however designated, and change its purposes by altering, abridging or enlarging the same, and make any other changes in its certificate of organization as originally filed or subsequently amended that may be desired, if such changes would be proper to insert in an original certificate of organization. The change must be made by vote of a majority of those members with voting rights present at, or if the corporation does not have members with voting rights, then by a majority vote of its whole board of directors or trustees or managing board, however designated, taken at any legal meeting.  The notice of the meeting must give notice of the proposed action. If the corporation amends any provision of any certificate filed with the Secretary of State, the corporation must promptly deliver for filing with the Secretary of State a certificate of amendment signed and dated by the clerk or secretary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523,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§13 (AMD). PL 1971, c. 373, §1 (RPR). PL 1971, c. 544, §40 (AMD). PL 1971, c. 565, §§6,7 (AMD). PL 1973, c. 409 (AMD). PL 1977, c. 522, §3 (AMD). PL 1977, c. 525, §6 (AMD). PL 1977, c. 592, §4 (AMD). PL 2003, c. 523, §4 (AMD). </w:t>
      </w:r>
    </w:p>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jc w:val="both"/>
        <w:spacing w:before="100" w:after="100"/>
        <w:ind w:start="1080" w:hanging="720"/>
      </w:pPr>
      <w:r>
        <w:rPr>
          <w:b/>
        </w:rPr>
        <w:t>§</w:t>
        <w:t>940</w:t>
        <w:t xml:space="preserve">.  </w:t>
      </w:r>
      <w:r>
        <w:rPr>
          <w:b/>
        </w:rPr>
        <w:t xml:space="preserve">Indemnification</w:t>
      </w:r>
    </w:p>
    <w:p>
      <w:pPr>
        <w:jc w:val="both"/>
        <w:spacing w:before="100" w:after="100"/>
        <w:ind w:start="360"/>
        <w:ind w:firstLine="360"/>
      </w:pPr>
      <w:r>
        <w:rPr/>
      </w:r>
      <w:r>
        <w:rPr/>
      </w:r>
      <w:r>
        <w:t xml:space="preserve">Any domestic corporation organized without capital stock and any corporation located in Maine and chartered by the Commonwealth of Massachusetts prior to the Articles of Separation may, by vote of its directors, trustees or managing board, however designated, or pursuant to bylaw, indemnify its trustees, directors, managing board, officers, employees and agents and may purchase and maintain insurance to indemnify any such person to the extent provided by </w:t>
      </w:r>
      <w:r>
        <w:t>Title 13‑C, chapter 8, subchapter 5</w:t>
      </w:r>
      <w:r>
        <w:t xml:space="preserve">, except where inconsistent with any specific provision of any public law or private and special act applicable thereto. This section does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§2 (NEW). PL 1977, c. 525, §10 (AMD). PL 1977, c. 592, §7 (AMD). RR 1991, c. 2, §41 (COR). RR 2001, c. 2, §B26 (COR). RR 2001, c. 2, §B58 (AFF). </w:t>
      </w:r>
    </w:p>
    <w:p>
      <w:pPr>
        <w:jc w:val="center"/>
        <w:ind w:start="360"/>
        <w:spacing w:before="300" w:after="300"/>
      </w:pPr>
      <w:r>
        <w:rPr>
          <w:b/>
        </w:rPr>
        <w:t>SUBCHAPTER</w:t>
        <w:t xml:space="preserve"> </w:t>
        <w:t>3</w:t>
      </w:r>
    </w:p>
    <w:p>
      <w:pPr>
        <w:jc w:val="center"/>
        <w:ind w:start="360"/>
        <w:spacing w:before="300" w:after="300"/>
      </w:pPr>
      <w:r>
        <w:rPr>
          <w:b/>
        </w:rPr>
        <w:t xml:space="preserve">CONSOLIDATION</w:t>
      </w:r>
    </w:p>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jc w:val="both"/>
        <w:spacing w:before="100" w:after="100"/>
        <w:ind w:start="1080" w:hanging="720"/>
      </w:pPr>
      <w:r>
        <w:rPr>
          <w:b/>
        </w:rPr>
        <w:t>§</w:t>
        <w:t>982</w:t>
        <w:t xml:space="preserve">.  </w:t>
      </w:r>
      <w:r>
        <w:rPr>
          <w:b/>
        </w:rPr>
        <w:t xml:space="preserve">Use of state name; forfeiture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653 (AMD). PL 1977, c. 522, §§6,7 (AMD). PL 1977, c. 564, §65 (AMD). PL 1977, c. 592, §§9,10 (AMD). PL 1983, c. 50, §1 (RP). </w:t>
      </w:r>
    </w:p>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