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§1222. ACCEPTANCE; EXEMPTION FROM LIABILITY; TRUST FUNDS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