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or crematory shall deliver to a person, the person's attorney-in-fact or the person's personal representative any item of tangible personal property purchased by that person but remaining in the possession of the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