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w:t>
        <w:t xml:space="preserve">.  </w:t>
      </w:r>
      <w:r>
        <w:rPr>
          <w:b/>
        </w:rPr>
        <w:t xml:space="preserve">Solicitation of cemetery or crematory services or property</w:t>
      </w:r>
    </w:p>
    <w:p>
      <w:pPr>
        <w:jc w:val="both"/>
        <w:spacing w:before="100" w:after="100"/>
        <w:ind w:start="360"/>
        <w:ind w:firstLine="360"/>
      </w:pPr>
      <w:r>
        <w:rPr/>
      </w:r>
      <w:r>
        <w:rPr/>
      </w:r>
      <w:r>
        <w:t xml:space="preserve">Uninvited telephone or door-to-door solicitations for crematory or cemetery services or property are prohibited.  This section may not be construed to limit the raising of funds for capital improvements as long as those funds are not raised through the purchase of cemetery or crematory services or property.  Uninvited solicitations may not be construed to include solicitations resulting from uninvited good-faith personal referrals from individuals purchasing services or property from a cemetery or crematory.</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§1266. Solicitation of cemetery or crematory services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 Solicitation of cemetery or crematory services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§1266. SOLICITATION OF CEMETERY OR CREMATORY SERVICES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