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§1344. Supervisory control of health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Supervisory control of health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§1344. SUPERVISORY CONTROL OF HEALTH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