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Issuance and contents</w:t>
      </w:r>
    </w:p>
    <w:p>
      <w:pPr>
        <w:jc w:val="both"/>
        <w:spacing w:before="100" w:after="100"/>
        <w:ind w:start="360"/>
        <w:ind w:firstLine="360"/>
      </w:pPr>
      <w:r>
        <w:rPr/>
      </w:r>
      <w:r>
        <w:rPr/>
      </w:r>
      <w:r>
        <w:t xml:space="preserve">No certificate for share or membership capital shall be issued until the par value thereof has been paid for in full. There shall be printed upon each certificate issued by an association a full or condensed statement of the requirements of sections pertaining to one-member-one-vote, no proxy and transfer of shares and membership.</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§1691. Issuance and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Issuance and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§1691. ISSUANCE AND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