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Purposes</w:t>
      </w:r>
    </w:p>
    <w:p>
      <w:pPr>
        <w:jc w:val="both"/>
        <w:spacing w:before="100" w:after="100"/>
        <w:ind w:start="360"/>
        <w:ind w:firstLine="360"/>
      </w:pPr>
      <w:r>
        <w:rPr/>
      </w:r>
      <w:r>
        <w:rPr/>
      </w:r>
      <w:r>
        <w:t xml:space="preserve">This chapter is enacted in order to promote, foster and encourage the intelligent and orderly marketing of fish and fishery products through cooperation; to eliminate speculation and waste; to make the distribution of fish and fishery products between producer and consumer as direct as can be efficiently done; and to stabilize the marketing of fish and fishery products.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§2002.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