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Agency</w:t>
      </w:r>
    </w:p>
    <w:p>
      <w:pPr>
        <w:jc w:val="both"/>
        <w:spacing w:before="100" w:after="100"/>
        <w:ind w:start="360"/>
        <w:ind w:firstLine="360"/>
      </w:pPr>
      <w:r>
        <w:rPr/>
      </w:r>
      <w:r>
        <w:rPr/>
      </w:r>
      <w:r>
        <w:t xml:space="preserve">An association may act as the agent or representative of any member or members in </w:t>
      </w:r>
      <w:r>
        <w:t>sections 2231</w:t>
      </w:r>
      <w:r>
        <w:t xml:space="preserve"> and </w:t>
      </w:r>
      <w:r>
        <w:t>2232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§2233.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§2233.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