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2984</w:t>
        <w:t xml:space="preserve">.  </w:t>
      </w:r>
      <w:r>
        <w:rPr>
          <w:b/>
        </w:rPr>
        <w:t xml:space="preserve">Conveyance of land</w:t>
      </w:r>
    </w:p>
    <w:p>
      <w:pPr>
        <w:jc w:val="both"/>
        <w:spacing w:before="100" w:after="100"/>
        <w:ind w:start="360"/>
        <w:ind w:firstLine="360"/>
      </w:pPr>
      <w:r>
        <w:rPr/>
      </w:r>
      <w:r>
        <w:rPr/>
      </w:r>
      <w:r>
        <w:t xml:space="preserve">No conveyance of an estate as set forth in </w:t>
      </w:r>
      <w:r>
        <w:t>section 2983</w:t>
      </w:r>
      <w:r>
        <w:t xml:space="preserve"> by a minister shall be valid longer than he is in the ministry; or by such deacons or other officers, longer than they are in office, if made by them without consent of the church or by church wardens without the consent of the vestry.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§2984. Conveyance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§2984. Conveyance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§2984. CONVEYANCE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